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r w:rsidDel="00000000" w:rsidR="00000000" w:rsidRPr="00000000">
        <w:rPr>
          <w:rtl w:val="0"/>
        </w:rPr>
      </w:r>
    </w:p>
    <w:p w:rsidR="00000000" w:rsidDel="00000000" w:rsidP="00000000" w:rsidRDefault="00000000" w:rsidRPr="00000000" w14:paraId="00000002">
      <w:pPr>
        <w:jc w:val="center"/>
        <w:rPr>
          <w:b w:val="1"/>
          <w:smallCaps w:val="1"/>
        </w:rPr>
      </w:pPr>
      <w:r w:rsidDel="00000000" w:rsidR="00000000" w:rsidRPr="00000000">
        <w:rPr>
          <w:rtl w:val="0"/>
        </w:rPr>
      </w:r>
    </w:p>
    <w:p w:rsidR="00000000" w:rsidDel="00000000" w:rsidP="00000000" w:rsidRDefault="00000000" w:rsidRPr="00000000" w14:paraId="00000003">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6">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spacing w:after="0" w:lineRule="auto"/>
        <w:rPr>
          <w:b w:val="1"/>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rtl w:val="0"/>
        </w:rPr>
      </w:r>
    </w:p>
    <w:p w:rsidR="00000000" w:rsidDel="00000000" w:rsidP="00000000" w:rsidRDefault="00000000" w:rsidRPr="00000000" w14:paraId="00000010">
      <w:pPr>
        <w:spacing w:after="200" w:line="276" w:lineRule="auto"/>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b w:val="1"/>
        </w:rPr>
      </w:pPr>
      <w:r w:rsidDel="00000000" w:rsidR="00000000" w:rsidRPr="00000000">
        <w:rPr>
          <w:b w:val="1"/>
          <w:rtl w:val="0"/>
        </w:rPr>
        <w:t xml:space="preserve">JOINT SCHEDULE 7 </w:t>
      </w:r>
    </w:p>
    <w:p w:rsidR="00000000" w:rsidDel="00000000" w:rsidP="00000000" w:rsidRDefault="00000000" w:rsidRPr="00000000" w14:paraId="00000012">
      <w:pPr>
        <w:jc w:val="center"/>
        <w:rPr>
          <w:b w:val="1"/>
        </w:rPr>
      </w:pPr>
      <w:r w:rsidDel="00000000" w:rsidR="00000000" w:rsidRPr="00000000">
        <w:rPr>
          <w:b w:val="1"/>
          <w:rtl w:val="0"/>
        </w:rPr>
        <w:t xml:space="preserve">FINANCIAL DISTRESS</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0j0zll" w:id="0"/>
      <w:bookmarkEnd w:id="0"/>
      <w:r w:rsidDel="00000000" w:rsidR="00000000" w:rsidRPr="00000000">
        <w:rPr>
          <w:b w:val="1"/>
          <w:smallCaps w:val="1"/>
          <w:color w:val="000000"/>
          <w:rtl w:val="0"/>
        </w:rPr>
        <w:t xml:space="preserve">INTRODUCTION</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Parties shall comply with the provisions of this Schedule in relation to the assessment of the financial standing of the Supplier and the consequences of a change to that financial standing.</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The terms of this Schedule shall survive termination or expiry of this Contract. </w:t>
      </w:r>
      <w:r w:rsidDel="00000000" w:rsidR="00000000" w:rsidRPr="00000000">
        <w:rPr>
          <w:rtl w:val="0"/>
        </w:rPr>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DEFINITIONS</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 w:val="left" w:leader="none" w:pos="709"/>
          <w:tab w:val="left" w:leader="none" w:pos="1134"/>
        </w:tabs>
        <w:spacing w:after="120" w:before="120" w:lineRule="auto"/>
        <w:ind w:left="644" w:hanging="360"/>
        <w:rPr/>
      </w:pPr>
      <w:r w:rsidDel="00000000" w:rsidR="00000000" w:rsidRPr="00000000">
        <w:rPr>
          <w:color w:val="000000"/>
          <w:rtl w:val="0"/>
        </w:rPr>
        <w:t xml:space="preserve">In this Schedule, the following words shall have the following meanings and they shall supplement Schedule J1 (Definitions):</w:t>
      </w:r>
      <w:r w:rsidDel="00000000" w:rsidR="00000000" w:rsidRPr="00000000">
        <w:rPr>
          <w:rtl w:val="0"/>
        </w:rPr>
      </w:r>
    </w:p>
    <w:tbl>
      <w:tblPr>
        <w:tblStyle w:val="Table1"/>
        <w:tblW w:w="8086.0" w:type="dxa"/>
        <w:jc w:val="left"/>
        <w:tblInd w:w="4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74"/>
        <w:gridCol w:w="5712"/>
        <w:tblGridChange w:id="0">
          <w:tblGrid>
            <w:gridCol w:w="2374"/>
            <w:gridCol w:w="5712"/>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"Financial Distress Event"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occurrence or one or more of the following events:</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 credit rating of the Supplier, the Framework Guarantor/ and Call Off Guarantor or any Key Sub-Contractor dropping below the applicable Credit Rating Threshold;</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 Supplier, the Framework Guarantor/ and Call Off Guarantor or any Key Sub-Contractor issuing a profits warning to a stock exchange or making any other public announcement about a material deterioration in its financial position or prospects;</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there being a public investigation into improper financial accounting and reporting, suspected fraud or any other impropriety of the Supplier, the Framework Guarantor/ and Call Off Guarantor or any Key Sub-Contractor; </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the Supplier, the Framework Guarantor/ and Call Off Guarantor or any Key Sub-Contractor committing a material breach of covenant to its lenders; </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a Key Sub-Contractor (where applicable) notifying CCS that the Supplier has not satisfied any sums properly due under a specified invoice and not subject to a genuine dispute; or</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s>
              <w:spacing w:after="120" w:lineRule="auto"/>
              <w:ind w:left="720" w:firstLine="0"/>
              <w:rPr/>
            </w:pPr>
            <w:r w:rsidDel="00000000" w:rsidR="00000000" w:rsidRPr="00000000">
              <w:rPr>
                <w:color w:val="000000"/>
                <w:rtl w:val="0"/>
              </w:rPr>
              <w:t xml:space="preserve">any of the following:</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commencement of any litigation against the Supplier, the Framework Guarantor/ and Call Off Guarantor or any Key Sub-Contractor with respect to financial indebtedness or obligations under a contract; </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non-payment by the Supplier, the Framework Guarantor/ and Call Off Guarantor or any Key Sub-Contractor of any financial indebtedness;</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any financial indebtedness of the Supplier, the Framework Guarantor/ and Call Off Guarantor or any Key Sub-Contractor] becoming due as a result of an event of default; 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s>
              <w:spacing w:after="120" w:lineRule="auto"/>
              <w:ind w:left="1440" w:firstLine="0"/>
              <w:rPr/>
            </w:pPr>
            <w:r w:rsidDel="00000000" w:rsidR="00000000" w:rsidRPr="00000000">
              <w:rPr>
                <w:color w:val="000000"/>
                <w:rtl w:val="0"/>
              </w:rPr>
              <w:t xml:space="preserve">the cancellation or suspension of any financial indebtedness in respect of the Supplier, the Framework Guarantor/ and Call Off Guarantor or any Key Sub-Contractor, </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in each case which CCS reasonably believes (or would be likely reasonably to believe) could directly impact on the continued performance and delivery of the Deliverables in accordance with any Call Off Contract;</w:t>
            </w:r>
            <w:r w:rsidDel="00000000" w:rsidR="00000000" w:rsidRPr="00000000">
              <w:rPr>
                <w:rtl w:val="0"/>
              </w:rPr>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"Credit Rating Threshold"</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minimum credit rating level for the Supplier and the Framework Guarantor/ and Call Off Guarantor as set out in Annex 2 and for each Key Sub-Contractor (if applicable); and</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"Financial Distress Service Continuity Plan"</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5"/>
              </w:tabs>
              <w:spacing w:after="120" w:lineRule="auto"/>
              <w:rPr>
                <w:color w:val="000000"/>
              </w:rPr>
            </w:pPr>
            <w:r w:rsidDel="00000000" w:rsidR="00000000" w:rsidRPr="00000000">
              <w:rPr>
                <w:color w:val="000000"/>
                <w:rtl w:val="0"/>
              </w:rPr>
              <w:t xml:space="preserve">a plan setting out how the Supplier will ensure the continued performance and delivery of the Deliverables in accordance with each Call Off Contract in the event that a Financial Distress Event occurs;</w:t>
            </w:r>
          </w:p>
          <w:p w:rsidR="00000000" w:rsidDel="00000000" w:rsidP="00000000" w:rsidRDefault="00000000" w:rsidRPr="00000000" w14:paraId="0000002A">
            <w:pPr>
              <w:tabs>
                <w:tab w:val="left" w:leader="none" w:pos="175"/>
              </w:tabs>
              <w:spacing w:after="120" w:lineRule="auto"/>
              <w:rPr/>
            </w:pPr>
            <w:r w:rsidDel="00000000" w:rsidR="00000000" w:rsidRPr="00000000">
              <w:rPr>
                <w:rtl w:val="0"/>
              </w:rPr>
              <w:t xml:space="preserve">the rating agencies listed in Annex 1.</w:t>
            </w:r>
          </w:p>
        </w:tc>
      </w:tr>
    </w:tbl>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rPr>
          <w:b w:val="1"/>
          <w:smallCaps w:val="1"/>
          <w:color w:val="000000"/>
        </w:rPr>
      </w:pPr>
      <w:r w:rsidDel="00000000" w:rsidR="00000000" w:rsidRPr="00000000">
        <w:rPr>
          <w:rtl w:val="0"/>
        </w:rPr>
      </w:r>
    </w:p>
    <w:p w:rsidR="00000000" w:rsidDel="00000000" w:rsidP="00000000" w:rsidRDefault="00000000" w:rsidRPr="00000000" w14:paraId="0000002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CREDIT RATING AND DUTY TO NOTIFY</w:t>
      </w:r>
      <w:r w:rsidDel="00000000" w:rsidR="00000000" w:rsidRPr="00000000">
        <w:rPr>
          <w:rtl w:val="0"/>
        </w:rPr>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fob9te" w:id="1"/>
      <w:bookmarkEnd w:id="1"/>
      <w:r w:rsidDel="00000000" w:rsidR="00000000" w:rsidRPr="00000000">
        <w:rPr>
          <w:color w:val="000000"/>
          <w:rtl w:val="0"/>
        </w:rPr>
        <w:t xml:space="preserve">The Supplier warrants and represents to CCS that as at the Start Date the long-term credit ratings issued for the Supplier and Framework Guarantor/and Call-Off Guarantor by each of the Rating Agencies are as set out in Annex 2. </w:t>
      </w: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The Supplier shall promptly (and in any event within five (5) Working Days) notify CCS in writing if there is any downgrade in the credit rating issued by any Rating Agency for either the Supplier or the Framework Guarantor/ and Call-Off Guarantor.</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If there is any downgrade credit rating issued by any Rating Agency for either the Supplier for the Framework Guarantor/ and Call-Off Guarantor, the Supplier shall ensure that the Supplier’s auditors or Framework Guarantor's/ and Call-Off Guarantor's auditors (as the case may be) thereafter provide CCS within 10 Working Days of the end of each Contract Year and within 10 Working Days of written request by CCS (such requests not to exceed 4 in any Contract Year) with written calculations of the quick ratio for the Supplier or the Framework Guarantor/ and Call-Off Guarantor as the case may be as at the end of each Contract Year or such other date as may be requested by CCS.  For these purposes the "quick ratio" on any date means:</w:t>
      </w:r>
    </w:p>
    <w:p w:rsidR="00000000" w:rsidDel="00000000" w:rsidP="00000000" w:rsidRDefault="00000000" w:rsidRPr="00000000" w14:paraId="00000030">
      <w:pPr>
        <w:ind w:firstLine="1134"/>
        <w:rPr/>
      </w:pPr>
      <w:r w:rsidDel="00000000" w:rsidR="00000000" w:rsidRPr="00000000">
        <w:rPr/>
        <w:drawing>
          <wp:inline distB="0" distT="0" distL="0" distR="0">
            <wp:extent cx="609600" cy="163195"/>
            <wp:effectExtent b="0" l="0" r="0" t="0"/>
            <wp:docPr id="24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drawing>
          <wp:inline distB="0" distT="0" distL="0" distR="0">
            <wp:extent cx="609600" cy="315595"/>
            <wp:effectExtent b="0" l="0" r="0" t="0"/>
            <wp:docPr id="24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3402"/>
        </w:tabs>
        <w:spacing w:after="220" w:lineRule="auto"/>
        <w:ind w:left="720" w:firstLine="0"/>
        <w:rPr>
          <w:color w:val="000000"/>
        </w:rPr>
      </w:pPr>
      <w:r w:rsidDel="00000000" w:rsidR="00000000" w:rsidRPr="00000000">
        <w:rPr>
          <w:color w:val="000000"/>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86"/>
        <w:gridCol w:w="6831"/>
        <w:tblGridChange w:id="0">
          <w:tblGrid>
            <w:gridCol w:w="1486"/>
            <w:gridCol w:w="6831"/>
          </w:tblGrid>
        </w:tblGridChange>
      </w:tblGrid>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A</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3402"/>
              </w:tabs>
              <w:spacing w:after="220" w:lineRule="auto"/>
              <w:ind w:left="1134" w:firstLine="0"/>
              <w:rPr>
                <w:b w:val="1"/>
                <w:color w:val="000000"/>
              </w:rPr>
            </w:pPr>
            <w:r w:rsidDel="00000000" w:rsidR="00000000" w:rsidRPr="00000000">
              <w:rPr>
                <w:color w:val="000000"/>
                <w:rtl w:val="0"/>
              </w:rPr>
              <w:t xml:space="preserve">is the value at the relevant date of all cash in hand and at the bank of the Supplier or the Framework Guarantor/ and Call-Off Guarantor (as the case may be);</w:t>
            </w:r>
            <w:r w:rsidDel="00000000" w:rsidR="00000000" w:rsidRPr="00000000">
              <w:rPr>
                <w:rtl w:val="0"/>
              </w:rPr>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B</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is the value of all marketable securities held by the Supplier or the Framework Guarantor/ and Call-Off Guarantor (as the case may be) determined using closing prices on the Working Day preceding the relevant date; </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C</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is the value at the relevant date of all account receivables of the Supplier Framework Guarantor/ and Call-Off Guarantor (as the case may be); and </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D</w:t>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3402"/>
              </w:tabs>
              <w:spacing w:after="220" w:lineRule="auto"/>
              <w:ind w:left="1134" w:firstLine="0"/>
              <w:rPr>
                <w:color w:val="000000"/>
              </w:rPr>
            </w:pPr>
            <w:r w:rsidDel="00000000" w:rsidR="00000000" w:rsidRPr="00000000">
              <w:rPr>
                <w:color w:val="000000"/>
                <w:rtl w:val="0"/>
              </w:rPr>
              <w:t xml:space="preserve">is the value at the relevant date of the current liabilities of the Supplier or the Framework Guarantor/ and Call-Off Guarantor (as the case may be).</w:t>
            </w:r>
          </w:p>
        </w:tc>
      </w:tr>
    </w:tbl>
    <w:p w:rsidR="00000000" w:rsidDel="00000000" w:rsidP="00000000" w:rsidRDefault="00000000" w:rsidRPr="00000000" w14:paraId="0000003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bookmarkStart w:colFirst="0" w:colLast="0" w:name="_heading=h.3znysh7" w:id="2"/>
      <w:bookmarkEnd w:id="2"/>
      <w:r w:rsidDel="00000000" w:rsidR="00000000" w:rsidRPr="00000000">
        <w:rPr>
          <w:color w:val="000000"/>
          <w:rtl w:val="0"/>
        </w:rPr>
        <w:t xml:space="preserve">The Supplier shall: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rPr>
      </w:pPr>
      <w:r w:rsidDel="00000000" w:rsidR="00000000" w:rsidRPr="00000000">
        <w:rPr>
          <w:color w:val="000000"/>
          <w:rtl w:val="0"/>
        </w:rPr>
        <w:t xml:space="preserve">regularly monitor the credit ratings of the Supplier, Framework Guarantor/ and Call-Off Guarantor and each Key Subcontractor with the Rating Agencies; and </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color w:val="000000"/>
        </w:rPr>
      </w:pPr>
      <w:r w:rsidDel="00000000" w:rsidR="00000000" w:rsidRPr="00000000">
        <w:rPr>
          <w:color w:val="000000"/>
          <w:rtl w:val="0"/>
        </w:rPr>
        <w:t xml:space="preserve">promptly notify (or shall procure that its auditors promptly notify) CCS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10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color w:val="000000"/>
        </w:rPr>
      </w:pPr>
      <w:r w:rsidDel="00000000" w:rsidR="00000000" w:rsidRPr="00000000">
        <w:rPr>
          <w:color w:val="000000"/>
          <w:rtl w:val="0"/>
        </w:rPr>
        <w:t xml:space="preserve">For the purposes of determining whether a Financial Distress Event has occurred, the credit rating of the Supplier, the Framework Guarantor/ and Call-Off Guarantor or relevant Key Subcontractor (as the case may be) shall be deemed to have dropped below the applicable Credit Rating Threshold if any of the Rating Agencies have rated the Supplier, the Framework Guarantor/ and Call-Off Guarantor or relevant Key Subcontractor (as the case may be) at or below the applicable Credit Rating Threshold.</w:t>
      </w:r>
    </w:p>
    <w:p w:rsidR="00000000" w:rsidDel="00000000" w:rsidP="00000000" w:rsidRDefault="00000000" w:rsidRPr="00000000" w14:paraId="0000003E">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2et92p0" w:id="3"/>
      <w:bookmarkEnd w:id="3"/>
      <w:r w:rsidDel="00000000" w:rsidR="00000000" w:rsidRPr="00000000">
        <w:rPr>
          <w:b w:val="1"/>
          <w:smallCaps w:val="1"/>
          <w:color w:val="000000"/>
          <w:rtl w:val="0"/>
        </w:rPr>
        <w:t xml:space="preserve">CONSEQUENCES OF A FINANCIAL DISTRESS EVENT</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tyjcwt" w:id="4"/>
      <w:bookmarkEnd w:id="4"/>
      <w:r w:rsidDel="00000000" w:rsidR="00000000" w:rsidRPr="00000000">
        <w:rPr>
          <w:color w:val="000000"/>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dy6vkm" w:id="5"/>
      <w:bookmarkEnd w:id="5"/>
      <w:r w:rsidDel="00000000" w:rsidR="00000000" w:rsidRPr="00000000">
        <w:rPr>
          <w:color w:val="000000"/>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r w:rsidDel="00000000" w:rsidR="00000000" w:rsidRPr="00000000">
        <w:rPr>
          <w:rtl w:val="0"/>
        </w:rPr>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rectify such late or non-payment; or </w:t>
      </w:r>
      <w:r w:rsidDel="00000000" w:rsidR="00000000" w:rsidRPr="00000000">
        <w:rPr>
          <w:rtl w:val="0"/>
        </w:rPr>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demonstrate to CCS's reasonable satisfaction that there is a valid reason for late or non-payment.</w:t>
      </w:r>
      <w:r w:rsidDel="00000000" w:rsidR="00000000" w:rsidRPr="00000000">
        <w:rPr>
          <w:rtl w:val="0"/>
        </w:rPr>
      </w:r>
    </w:p>
    <w:p w:rsidR="00000000" w:rsidDel="00000000" w:rsidP="00000000" w:rsidRDefault="00000000" w:rsidRPr="00000000" w14:paraId="00000043">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1t3h5sf" w:id="6"/>
      <w:bookmarkEnd w:id="6"/>
      <w:r w:rsidDel="00000000" w:rsidR="00000000" w:rsidRPr="00000000">
        <w:rPr>
          <w:color w:val="000000"/>
          <w:rtl w:val="0"/>
        </w:rPr>
        <w:t xml:space="preserve">The Supplier shall (and shall procure that the Framework Guarantor/ and Call-Off Guarantor and/or any relevant Key Subcontractor shall):</w:t>
      </w:r>
      <w:r w:rsidDel="00000000" w:rsidR="00000000" w:rsidRPr="00000000">
        <w:rPr>
          <w:rtl w:val="0"/>
        </w:rPr>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4d34og8" w:id="7"/>
      <w:bookmarkEnd w:id="7"/>
      <w:r w:rsidDel="00000000" w:rsidR="00000000" w:rsidRPr="00000000">
        <w:rPr>
          <w:color w:val="000000"/>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and delivery of the Deliverables in accordance each Call-Off Contract; and</w:t>
      </w:r>
      <w:r w:rsidDel="00000000" w:rsidR="00000000" w:rsidRPr="00000000">
        <w:rPr>
          <w:rtl w:val="0"/>
        </w:rPr>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2s8eyo1" w:id="8"/>
      <w:bookmarkEnd w:id="8"/>
      <w:r w:rsidDel="00000000" w:rsidR="00000000" w:rsidRPr="00000000">
        <w:rPr>
          <w:color w:val="000000"/>
          <w:rtl w:val="0"/>
        </w:rPr>
        <w:t xml:space="preserve">where CCS reasonably believes (taking into account the discussions and any representations made under Paragraph 4.3.1) that the Financial Distress Event could impact on the continued performance and delivery of the Deliverables in accordance with each Call-Off Contract: </w:t>
      </w:r>
      <w:r w:rsidDel="00000000" w:rsidR="00000000" w:rsidRPr="00000000">
        <w:rPr>
          <w:rtl w:val="0"/>
        </w:rPr>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rPr/>
      </w:pPr>
      <w:r w:rsidDel="00000000" w:rsidR="00000000" w:rsidRPr="00000000">
        <w:rPr>
          <w:color w:val="000000"/>
          <w:rtl w:val="0"/>
        </w:rPr>
        <w:t xml:space="preserve">submit to CCS for its Approval, a draft Financial Distress Service Continuity Plan as soon as reasonably practicable (and in any event, within ten (10) Working Days of the initial notification (or awareness) of the Financial Distress Event); and</w:t>
      </w:r>
      <w:r w:rsidDel="00000000" w:rsidR="00000000" w:rsidRPr="00000000">
        <w:rPr>
          <w:rtl w:val="0"/>
        </w:rPr>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847" w:hanging="720"/>
        <w:rPr/>
      </w:pPr>
      <w:bookmarkStart w:colFirst="0" w:colLast="0" w:name="_heading=h.17dp8vu" w:id="9"/>
      <w:bookmarkEnd w:id="9"/>
      <w:r w:rsidDel="00000000" w:rsidR="00000000" w:rsidRPr="00000000">
        <w:rPr>
          <w:color w:val="000000"/>
          <w:rtl w:val="0"/>
        </w:rPr>
        <w:t xml:space="preserve">provide such financial information relating to the Supplier or the Framework Guarantor/ and Call-Off Guarantor as CCS may reasonably require.</w:t>
      </w:r>
      <w:r w:rsidDel="00000000" w:rsidR="00000000" w:rsidRPr="00000000">
        <w:rPr>
          <w:rtl w:val="0"/>
        </w:rPr>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3rdcrjn" w:id="10"/>
      <w:bookmarkEnd w:id="10"/>
      <w:r w:rsidDel="00000000" w:rsidR="00000000" w:rsidRPr="00000000">
        <w:rPr>
          <w:color w:val="000000"/>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r w:rsidDel="00000000" w:rsidR="00000000" w:rsidRPr="00000000">
        <w:rPr>
          <w:rtl w:val="0"/>
        </w:rPr>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26in1rg" w:id="11"/>
      <w:bookmarkEnd w:id="11"/>
      <w:r w:rsidDel="00000000" w:rsidR="00000000" w:rsidRPr="00000000">
        <w:rPr>
          <w:color w:val="000000"/>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lnxbz9" w:id="12"/>
      <w:bookmarkEnd w:id="12"/>
      <w:r w:rsidDel="00000000" w:rsidR="00000000" w:rsidRPr="00000000">
        <w:rPr>
          <w:color w:val="000000"/>
          <w:rtl w:val="0"/>
        </w:rPr>
        <w:t xml:space="preserve">Following Approval of the Financial Distress Service Continuity Plan by CCS, the Supplier shall:</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5nkun2" w:id="13"/>
      <w:bookmarkEnd w:id="13"/>
      <w:r w:rsidDel="00000000" w:rsidR="00000000" w:rsidRPr="00000000">
        <w:rPr>
          <w:color w:val="000000"/>
          <w:rtl w:val="0"/>
        </w:rPr>
        <w:t xml:space="preserve">on a regular basis (which shall not be less than Monthly), review the Financial Distress Service Continuity Plan and assess whether it remains adequate and up to date to ensure the continued performance and delivery of the Deliverables in accordance with each Call-Off Contract;</w:t>
      </w:r>
      <w:r w:rsidDel="00000000" w:rsidR="00000000" w:rsidRPr="00000000">
        <w:rPr>
          <w:rtl w:val="0"/>
        </w:rPr>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ksv4uv" w:id="14"/>
      <w:bookmarkEnd w:id="14"/>
      <w:r w:rsidDel="00000000" w:rsidR="00000000" w:rsidRPr="00000000">
        <w:rPr>
          <w:color w:val="000000"/>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r w:rsidDel="00000000" w:rsidR="00000000" w:rsidRPr="00000000">
        <w:rPr>
          <w:rtl w:val="0"/>
        </w:rPr>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44sinio" w:id="15"/>
      <w:bookmarkEnd w:id="15"/>
      <w:r w:rsidDel="00000000" w:rsidR="00000000" w:rsidRPr="00000000">
        <w:rPr>
          <w:color w:val="000000"/>
          <w:rtl w:val="0"/>
        </w:rPr>
        <w:t xml:space="preserve">comply with the Financial Distress Service Continuity Plan (including any updated Financial Distress Service Continuity Plan).</w:t>
      </w:r>
      <w:r w:rsidDel="00000000" w:rsidR="00000000" w:rsidRPr="00000000">
        <w:rPr>
          <w:rtl w:val="0"/>
        </w:rPr>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2jxsxqh" w:id="16"/>
      <w:bookmarkEnd w:id="16"/>
      <w:r w:rsidDel="00000000" w:rsidR="00000000" w:rsidRPr="00000000">
        <w:rPr>
          <w:color w:val="000000"/>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r w:rsidDel="00000000" w:rsidR="00000000" w:rsidRPr="00000000">
        <w:rPr>
          <w:rtl w:val="0"/>
        </w:rPr>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CCS shall be able to share any information it receives from the Buyer in accordance with this Paragraph with any Buyer who has entered into a Call-Off Contract with the Supplier.</w:t>
      </w:r>
      <w:r w:rsidDel="00000000" w:rsidR="00000000" w:rsidRPr="00000000">
        <w:rPr>
          <w:rtl w:val="0"/>
        </w:rPr>
      </w:r>
    </w:p>
    <w:p w:rsidR="00000000" w:rsidDel="00000000" w:rsidP="00000000" w:rsidRDefault="00000000" w:rsidRPr="00000000" w14:paraId="0000005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TERMINATION RIGHTS</w:t>
      </w:r>
      <w:r w:rsidDel="00000000" w:rsidR="00000000" w:rsidRPr="00000000">
        <w:rPr>
          <w:rtl w:val="0"/>
        </w:rPr>
      </w:r>
    </w:p>
    <w:p w:rsidR="00000000" w:rsidDel="00000000" w:rsidP="00000000" w:rsidRDefault="00000000" w:rsidRPr="00000000" w14:paraId="0000005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bookmarkStart w:colFirst="0" w:colLast="0" w:name="_heading=h.z337ya" w:id="17"/>
      <w:bookmarkEnd w:id="17"/>
      <w:r w:rsidDel="00000000" w:rsidR="00000000" w:rsidRPr="00000000">
        <w:rPr>
          <w:color w:val="000000"/>
          <w:rtl w:val="0"/>
        </w:rPr>
        <w:t xml:space="preserve">CCS shall be entitled to terminate this Contract and Buyers shall be entitled to terminate their Call-Off Contracts for material Default if: </w:t>
      </w:r>
      <w:r w:rsidDel="00000000" w:rsidR="00000000" w:rsidRPr="00000000">
        <w:rPr>
          <w:rtl w:val="0"/>
        </w:rPr>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fails to notify CCS of a Financial Distress Event in accordance with Paragraph 3.4; </w:t>
      </w:r>
      <w:r w:rsidDel="00000000" w:rsidR="00000000" w:rsidRPr="00000000">
        <w:rPr>
          <w:rtl w:val="0"/>
        </w:rPr>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CCS and the Supplier fail to agree a Financial Distress Service Continuity Plan (or any updated Financial Distress Service Continuity Plan) in accordance with Paragraphs 4.3 to 4.5; and/or</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fails to comply with the terms of the Financial Distress Service Continuity Plan (or any updated Financial Distress Service Continuity Plan) in accordance with Paragraph 4.6.3.</w:t>
      </w:r>
      <w:r w:rsidDel="00000000" w:rsidR="00000000" w:rsidRPr="00000000">
        <w:rPr>
          <w:rtl w:val="0"/>
        </w:rPr>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bookmarkStart w:colFirst="0" w:colLast="0" w:name="_heading=h.3j2qqm3" w:id="18"/>
      <w:bookmarkEnd w:id="18"/>
      <w:r w:rsidDel="00000000" w:rsidR="00000000" w:rsidRPr="00000000">
        <w:rPr>
          <w:b w:val="1"/>
          <w:smallCaps w:val="1"/>
          <w:color w:val="000000"/>
          <w:rtl w:val="0"/>
        </w:rPr>
        <w:t xml:space="preserve">PRIMACY OF CREDIT RATINGS</w:t>
      </w:r>
      <w:r w:rsidDel="00000000" w:rsidR="00000000" w:rsidRPr="00000000">
        <w:rPr>
          <w:rtl w:val="0"/>
        </w:rPr>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Without prejudice to the Supplier’s obligations and CCS’ rights and remedies under Paragraph 4, if, following the occurrence of a Financial Distress Event, the Rating Agencies review and report subsequently that the credit ratings do not drop below the relevant Credit Rating Threshold, then:</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Supplier shall be relieved automatically of its obligations under Paragraphs 4.3 to 4.6; and</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CCS shall not be entitled to require the Supplier to provide financial information in accordance with Paragraph 4.3.2(b). </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Rule="auto"/>
        <w:rPr>
          <w:color w:val="ffffff"/>
        </w:rPr>
      </w:pPr>
      <w:r w:rsidDel="00000000" w:rsidR="00000000" w:rsidRPr="00000000">
        <w:rPr>
          <w:rtl w:val="0"/>
        </w:rPr>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1y810tw" w:id="19"/>
      <w:bookmarkEnd w:id="19"/>
      <w:r w:rsidDel="00000000" w:rsidR="00000000" w:rsidRPr="00000000">
        <w:br w:type="page"/>
      </w:r>
      <w:r w:rsidDel="00000000" w:rsidR="00000000" w:rsidRPr="00000000">
        <w:rPr>
          <w:rtl w:val="0"/>
        </w:rPr>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4i7ojhp" w:id="20"/>
      <w:bookmarkEnd w:id="20"/>
      <w:r w:rsidDel="00000000" w:rsidR="00000000" w:rsidRPr="00000000">
        <w:rPr>
          <w:b w:val="1"/>
          <w:smallCaps w:val="1"/>
          <w:color w:val="000000"/>
          <w:rtl w:val="0"/>
        </w:rPr>
        <w:t xml:space="preserve">ANNEX 1: RATING AGENCIES</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240" w:lineRule="auto"/>
        <w:ind w:left="142" w:firstLine="0"/>
        <w:rPr>
          <w:color w:val="000000"/>
        </w:rPr>
      </w:pPr>
      <w:r w:rsidDel="00000000" w:rsidR="00000000" w:rsidRPr="00000000">
        <w:rPr>
          <w:color w:val="000000"/>
          <w:rtl w:val="0"/>
        </w:rPr>
        <w:t xml:space="preserve">Dun and Bradstreet</w:t>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ind w:firstLine="426"/>
        <w:jc w:val="center"/>
        <w:rPr>
          <w:b w:val="1"/>
          <w:smallCaps w:val="1"/>
          <w:color w:val="000000"/>
        </w:rPr>
      </w:pPr>
      <w:bookmarkStart w:colFirst="0" w:colLast="0" w:name="_heading=h.2xcytpi" w:id="21"/>
      <w:bookmarkEnd w:id="21"/>
      <w:r w:rsidDel="00000000" w:rsidR="00000000" w:rsidRPr="00000000">
        <w:br w:type="page"/>
      </w:r>
      <w:r w:rsidDel="00000000" w:rsidR="00000000" w:rsidRPr="00000000">
        <w:rPr>
          <w:b w:val="1"/>
          <w:smallCaps w:val="1"/>
          <w:color w:val="000000"/>
          <w:rtl w:val="0"/>
        </w:rPr>
        <w:t xml:space="preserve">ANNEX 2: CREDIT RATINGS &amp; CREDIT RATING THRESHOLDS</w:t>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ind w:left="0" w:firstLine="0"/>
        <w:rPr>
          <w:b w:val="1"/>
          <w:smallCaps w:val="1"/>
        </w:rPr>
      </w:pPr>
      <w:r w:rsidDel="00000000" w:rsidR="00000000" w:rsidRPr="00000000">
        <w:rPr>
          <w:b w:val="1"/>
          <w:color w:val="000000"/>
          <w:rtl w:val="0"/>
        </w:rPr>
        <w:t xml:space="preserve">Part 1: Current Rating</w:t>
      </w:r>
      <w:r w:rsidDel="00000000" w:rsidR="00000000" w:rsidRPr="00000000">
        <w:rPr>
          <w:rtl w:val="0"/>
        </w:rPr>
      </w:r>
    </w:p>
    <w:p w:rsidR="00000000" w:rsidDel="00000000" w:rsidP="00000000" w:rsidRDefault="00000000" w:rsidRPr="00000000" w14:paraId="0000005F">
      <w:pPr>
        <w:keepNext w:val="1"/>
        <w:spacing w:after="120" w:before="240" w:lineRule="auto"/>
        <w:ind w:left="142" w:firstLine="0"/>
        <w:rPr>
          <w:sz w:val="20"/>
          <w:szCs w:val="20"/>
          <w:highlight w:val="white"/>
        </w:rPr>
      </w:pPr>
      <w:r w:rsidDel="00000000" w:rsidR="00000000" w:rsidRPr="00000000">
        <w:rPr>
          <w:color w:val="ff0000"/>
          <w:sz w:val="20"/>
          <w:szCs w:val="20"/>
          <w:highlight w:val="white"/>
          <w:rtl w:val="0"/>
        </w:rPr>
        <w:t xml:space="preserve">REDACTED TEXT under FOIA Section 43 Commercial Interests</w:t>
      </w:r>
      <w:r w:rsidDel="00000000" w:rsidR="00000000" w:rsidRPr="00000000">
        <w:rPr>
          <w:sz w:val="20"/>
          <w:szCs w:val="20"/>
          <w:highlight w:val="white"/>
          <w:rtl w:val="0"/>
        </w:rPr>
        <w:t xml:space="preserve">.</w:t>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ind w:left="0" w:firstLine="0"/>
        <w:rPr>
          <w:b w:val="1"/>
          <w:smallCaps w:val="1"/>
        </w:rPr>
      </w:pPr>
      <w:r w:rsidDel="00000000" w:rsidR="00000000" w:rsidRPr="00000000">
        <w:rPr>
          <w:rtl w:val="0"/>
        </w:rPr>
      </w:r>
    </w:p>
    <w:p w:rsidR="00000000" w:rsidDel="00000000" w:rsidP="00000000" w:rsidRDefault="00000000" w:rsidRPr="00000000" w14:paraId="00000061">
      <w:pPr>
        <w:spacing w:after="0" w:lineRule="auto"/>
        <w:rPr/>
      </w:pPr>
      <w:r w:rsidDel="00000000" w:rsidR="00000000" w:rsidRPr="00000000">
        <w:rPr>
          <w:rtl w:val="0"/>
        </w:rPr>
      </w:r>
    </w:p>
    <w:p w:rsidR="00000000" w:rsidDel="00000000" w:rsidP="00000000" w:rsidRDefault="00000000" w:rsidRPr="00000000" w14:paraId="00000062">
      <w:pPr>
        <w:spacing w:after="0" w:lineRule="auto"/>
        <w:rPr/>
      </w:pPr>
      <w:r w:rsidDel="00000000" w:rsidR="00000000" w:rsidRPr="00000000">
        <w:rPr>
          <w:b w:val="1"/>
          <w:color w:val="000000"/>
          <w:rtl w:val="0"/>
        </w:rPr>
        <w:t xml:space="preserve">Part 2: Lot Specific Credit Rating Threshold</w:t>
      </w:r>
      <w:r w:rsidDel="00000000" w:rsidR="00000000" w:rsidRPr="00000000">
        <w:rPr>
          <w:rtl w:val="0"/>
        </w:rPr>
      </w:r>
    </w:p>
    <w:p w:rsidR="00000000" w:rsidDel="00000000" w:rsidP="00000000" w:rsidRDefault="00000000" w:rsidRPr="00000000" w14:paraId="00000063">
      <w:pPr>
        <w:spacing w:after="0" w:lineRule="auto"/>
        <w:rPr/>
      </w:pPr>
      <w:r w:rsidDel="00000000" w:rsidR="00000000" w:rsidRPr="00000000">
        <w:rPr>
          <w:rtl w:val="0"/>
        </w:rPr>
      </w:r>
    </w:p>
    <w:p w:rsidR="00000000" w:rsidDel="00000000" w:rsidP="00000000" w:rsidRDefault="00000000" w:rsidRPr="00000000" w14:paraId="00000064">
      <w:pPr>
        <w:keepNext w:val="1"/>
        <w:spacing w:after="120" w:before="240" w:lineRule="auto"/>
        <w:ind w:left="142" w:firstLine="0"/>
        <w:rPr>
          <w:sz w:val="20"/>
          <w:szCs w:val="20"/>
          <w:highlight w:val="white"/>
        </w:rPr>
      </w:pPr>
      <w:r w:rsidDel="00000000" w:rsidR="00000000" w:rsidRPr="00000000">
        <w:rPr>
          <w:color w:val="ff0000"/>
          <w:sz w:val="20"/>
          <w:szCs w:val="20"/>
          <w:highlight w:val="white"/>
          <w:rtl w:val="0"/>
        </w:rPr>
        <w:t xml:space="preserve">REDACTED TEXT under FOIA Section 43 Commercial Interests</w:t>
      </w:r>
      <w:r w:rsidDel="00000000" w:rsidR="00000000" w:rsidRPr="00000000">
        <w:rPr>
          <w:sz w:val="20"/>
          <w:szCs w:val="20"/>
          <w:highlight w:val="white"/>
          <w:rtl w:val="0"/>
        </w:rPr>
        <w:t xml:space="preserve">.</w:t>
      </w:r>
    </w:p>
    <w:p w:rsidR="00000000" w:rsidDel="00000000" w:rsidP="00000000" w:rsidRDefault="00000000" w:rsidRPr="00000000" w14:paraId="00000065">
      <w:pPr>
        <w:spacing w:after="0" w:lineRule="auto"/>
        <w:rPr/>
      </w:pPr>
      <w:r w:rsidDel="00000000" w:rsidR="00000000" w:rsidRPr="00000000">
        <w:rPr>
          <w:rtl w:val="0"/>
        </w:rPr>
      </w:r>
    </w:p>
    <w:p w:rsidR="00000000" w:rsidDel="00000000" w:rsidP="00000000" w:rsidRDefault="00000000" w:rsidRPr="00000000" w14:paraId="00000066">
      <w:pPr>
        <w:spacing w:after="0" w:lineRule="auto"/>
        <w:rPr/>
      </w:pPr>
      <w:r w:rsidDel="00000000" w:rsidR="00000000" w:rsidRPr="00000000">
        <w:rPr>
          <w:rtl w:val="0"/>
        </w:rPr>
      </w:r>
    </w:p>
    <w:p w:rsidR="00000000" w:rsidDel="00000000" w:rsidP="00000000" w:rsidRDefault="00000000" w:rsidRPr="00000000" w14:paraId="00000067">
      <w:pPr>
        <w:spacing w:after="0" w:lineRule="auto"/>
        <w:rPr/>
      </w:pPr>
      <w:r w:rsidDel="00000000" w:rsidR="00000000" w:rsidRPr="00000000">
        <w:rPr>
          <w:rtl w:val="0"/>
        </w:rPr>
      </w:r>
    </w:p>
    <w:p w:rsidR="00000000" w:rsidDel="00000000" w:rsidP="00000000" w:rsidRDefault="00000000" w:rsidRPr="00000000" w14:paraId="00000068">
      <w:pPr>
        <w:spacing w:after="0" w:lineRule="auto"/>
        <w:rPr/>
      </w:pPr>
      <w:r w:rsidDel="00000000" w:rsidR="00000000" w:rsidRPr="00000000">
        <w:rPr>
          <w:rtl w:val="0"/>
        </w:rPr>
      </w:r>
    </w:p>
    <w:p w:rsidR="00000000" w:rsidDel="00000000" w:rsidP="00000000" w:rsidRDefault="00000000" w:rsidRPr="00000000" w14:paraId="00000069">
      <w:pPr>
        <w:spacing w:after="0" w:lineRule="auto"/>
        <w:rPr/>
      </w:pPr>
      <w:r w:rsidDel="00000000" w:rsidR="00000000" w:rsidRPr="00000000">
        <w:rPr>
          <w:rtl w:val="0"/>
        </w:rPr>
      </w:r>
    </w:p>
    <w:p w:rsidR="00000000" w:rsidDel="00000000" w:rsidP="00000000" w:rsidRDefault="00000000" w:rsidRPr="00000000" w14:paraId="0000006A">
      <w:pPr>
        <w:keepNext w:val="1"/>
        <w:spacing w:after="0" w:lineRule="auto"/>
        <w:rPr/>
      </w:pPr>
      <w:r w:rsidDel="00000000" w:rsidR="00000000" w:rsidRPr="00000000">
        <w:rPr>
          <w:rtl w:val="0"/>
        </w:rPr>
      </w:r>
    </w:p>
    <w:p w:rsidR="00000000" w:rsidDel="00000000" w:rsidP="00000000" w:rsidRDefault="00000000" w:rsidRPr="00000000" w14:paraId="0000006B">
      <w:pPr>
        <w:spacing w:after="0" w:lineRule="auto"/>
        <w:rPr/>
      </w:pPr>
      <w:r w:rsidDel="00000000" w:rsidR="00000000" w:rsidRPr="00000000">
        <w:rPr>
          <w:rtl w:val="0"/>
        </w:rPr>
      </w:r>
    </w:p>
    <w:sectPr>
      <w:headerReference r:id="rId9" w:type="default"/>
      <w:footerReference r:id="rId10"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22"/>
    <w:bookmarkEnd w:id="22"/>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                                                                                                              </w:t>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-50797</wp:posOffset>
          </wp:positionV>
          <wp:extent cx="1019175" cy="847725"/>
          <wp:effectExtent b="0" l="0" r="0" t="0"/>
          <wp:wrapSquare wrapText="bothSides" distB="45720" distT="45720" distL="114300" distR="114300"/>
          <wp:docPr id="24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p>
  <w:p w:rsidR="00000000" w:rsidDel="00000000" w:rsidP="00000000" w:rsidRDefault="00000000" w:rsidRPr="00000000" w14:paraId="0000006F">
    <w:pPr>
      <w:spacing w:after="0" w:line="276" w:lineRule="auto"/>
      <w:jc w:val="left"/>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Joint Schedule 7 (Financial Distress)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2HxkupDkwiE4ldvpF2tPcE6g+A==">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OaC5jZnVwcDU1a3pkdDg4AHIhMXhzallPRVFSVGhwS1ZxalhlcVZ4THBSeHJkZ3JOb09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2022-09-28T06:13:00Z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